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78426" w14:textId="72EB6D5E" w:rsidR="00CF7A07" w:rsidRPr="00AF57EF" w:rsidRDefault="0020696A" w:rsidP="4D4436EE">
      <w:pPr>
        <w:rPr>
          <w:rFonts w:eastAsiaTheme="minorEastAsia"/>
          <w:noProof/>
          <w:sz w:val="22"/>
          <w:szCs w:val="22"/>
          <w:lang w:val="pt-PT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0A032A6" wp14:editId="7DA038FF">
            <wp:simplePos x="0" y="0"/>
            <wp:positionH relativeFrom="column">
              <wp:posOffset>5723255</wp:posOffset>
            </wp:positionH>
            <wp:positionV relativeFrom="paragraph">
              <wp:posOffset>4037965</wp:posOffset>
            </wp:positionV>
            <wp:extent cx="939800" cy="5435600"/>
            <wp:effectExtent l="0" t="0" r="0" b="0"/>
            <wp:wrapNone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fbeelding 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00" cy="543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2A4BBDFA" wp14:editId="5E2F5AD6">
            <wp:simplePos x="0" y="0"/>
            <wp:positionH relativeFrom="column">
              <wp:posOffset>-662305</wp:posOffset>
            </wp:positionH>
            <wp:positionV relativeFrom="paragraph">
              <wp:posOffset>-526415</wp:posOffset>
            </wp:positionV>
            <wp:extent cx="2432212" cy="651933"/>
            <wp:effectExtent l="0" t="0" r="0" b="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2212" cy="6519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F57EF">
        <w:rPr>
          <w:noProof/>
          <w:lang w:val="pt-PT"/>
        </w:rPr>
        <w:softHyphen/>
      </w:r>
      <w:r w:rsidRPr="00AF57EF">
        <w:rPr>
          <w:noProof/>
          <w:lang w:val="pt-PT"/>
        </w:rPr>
        <w:softHyphen/>
      </w:r>
      <w:r w:rsidRPr="00AF57EF">
        <w:rPr>
          <w:noProof/>
          <w:lang w:val="pt-PT"/>
        </w:rPr>
        <w:softHyphen/>
      </w:r>
      <w:r w:rsidRPr="00AF57EF">
        <w:rPr>
          <w:noProof/>
          <w:lang w:val="pt-PT"/>
        </w:rPr>
        <w:softHyphen/>
      </w:r>
      <w:r w:rsidRPr="00AF57EF">
        <w:rPr>
          <w:noProof/>
          <w:lang w:val="pt-PT"/>
        </w:rPr>
        <w:softHyphen/>
      </w:r>
    </w:p>
    <w:p w14:paraId="7EE3CA63" w14:textId="77777777" w:rsidR="003A1D2F" w:rsidRPr="00AF57EF" w:rsidRDefault="003A1D2F" w:rsidP="4D4436EE">
      <w:pPr>
        <w:rPr>
          <w:rFonts w:eastAsiaTheme="minorEastAsia"/>
          <w:noProof/>
          <w:sz w:val="22"/>
          <w:szCs w:val="22"/>
          <w:lang w:val="pt-PT"/>
        </w:rPr>
      </w:pPr>
    </w:p>
    <w:p w14:paraId="78EDCC99" w14:textId="50F6B851" w:rsidR="47101B24" w:rsidRPr="00AF57EF" w:rsidRDefault="47101B24" w:rsidP="00E93252">
      <w:pPr>
        <w:spacing w:line="288" w:lineRule="auto"/>
        <w:jc w:val="center"/>
        <w:rPr>
          <w:rFonts w:eastAsiaTheme="minorEastAsia"/>
          <w:b/>
          <w:bCs/>
          <w:sz w:val="28"/>
          <w:szCs w:val="28"/>
          <w:lang w:val="pt-PT"/>
        </w:rPr>
      </w:pPr>
      <w:r w:rsidRPr="00AF57EF">
        <w:rPr>
          <w:rFonts w:eastAsiaTheme="minorEastAsia"/>
          <w:b/>
          <w:bCs/>
          <w:sz w:val="28"/>
          <w:szCs w:val="28"/>
          <w:lang w:val="pt-PT"/>
        </w:rPr>
        <w:t>COMUNICADO DE PRENSA</w:t>
      </w:r>
    </w:p>
    <w:p w14:paraId="3D29DFAE" w14:textId="3317ED70" w:rsidR="003A1D2F" w:rsidRPr="00AF57EF" w:rsidRDefault="003A1D2F" w:rsidP="4D4436EE">
      <w:pPr>
        <w:spacing w:line="288" w:lineRule="auto"/>
        <w:rPr>
          <w:rFonts w:eastAsiaTheme="minorEastAsia"/>
          <w:sz w:val="22"/>
          <w:szCs w:val="22"/>
          <w:lang w:val="pt-PT"/>
        </w:rPr>
      </w:pPr>
    </w:p>
    <w:p w14:paraId="4CFE122F" w14:textId="138E5975" w:rsidR="47101B24" w:rsidRDefault="47101B24" w:rsidP="00E93252">
      <w:pPr>
        <w:spacing w:line="288" w:lineRule="auto"/>
        <w:jc w:val="center"/>
        <w:rPr>
          <w:rFonts w:eastAsiaTheme="minorEastAsia"/>
          <w:b/>
          <w:bCs/>
          <w:sz w:val="28"/>
          <w:szCs w:val="28"/>
          <w:lang w:val="pt-PT"/>
        </w:rPr>
      </w:pPr>
      <w:r w:rsidRPr="00AF57EF">
        <w:rPr>
          <w:rFonts w:eastAsiaTheme="minorEastAsia"/>
          <w:b/>
          <w:bCs/>
          <w:sz w:val="28"/>
          <w:szCs w:val="28"/>
          <w:lang w:val="pt-PT"/>
        </w:rPr>
        <w:t>Albourgh Tyres da el siguiente paso en su desarrollo con la expansión a múltiples segmentos</w:t>
      </w:r>
    </w:p>
    <w:p w14:paraId="50E96AD2" w14:textId="77777777" w:rsidR="00E93252" w:rsidRPr="00AF57EF" w:rsidRDefault="00E93252" w:rsidP="6F8C1F1D">
      <w:pPr>
        <w:spacing w:line="288" w:lineRule="auto"/>
        <w:rPr>
          <w:rFonts w:eastAsiaTheme="minorEastAsia"/>
          <w:b/>
          <w:bCs/>
          <w:sz w:val="28"/>
          <w:szCs w:val="28"/>
          <w:lang w:val="pt-PT"/>
        </w:rPr>
      </w:pPr>
    </w:p>
    <w:p w14:paraId="5C9640FF" w14:textId="385436EF" w:rsidR="47101B24" w:rsidRPr="00AF57EF" w:rsidRDefault="47101B24" w:rsidP="6F8C1F1D">
      <w:pPr>
        <w:spacing w:line="288" w:lineRule="auto"/>
        <w:rPr>
          <w:rFonts w:eastAsiaTheme="minorEastAsia"/>
          <w:b/>
          <w:bCs/>
          <w:sz w:val="22"/>
          <w:szCs w:val="22"/>
          <w:lang w:val="pt-PT"/>
        </w:rPr>
      </w:pPr>
      <w:r w:rsidRPr="00AF57EF">
        <w:rPr>
          <w:rFonts w:eastAsiaTheme="minorEastAsia"/>
          <w:b/>
          <w:bCs/>
          <w:sz w:val="22"/>
          <w:szCs w:val="22"/>
          <w:lang w:val="pt-PT"/>
        </w:rPr>
        <w:t xml:space="preserve">Hardenberg, </w:t>
      </w:r>
      <w:r w:rsidR="00994B6D">
        <w:rPr>
          <w:rFonts w:eastAsiaTheme="minorEastAsia"/>
          <w:b/>
          <w:bCs/>
          <w:sz w:val="22"/>
          <w:szCs w:val="22"/>
          <w:lang w:val="pt-PT"/>
        </w:rPr>
        <w:t xml:space="preserve">13 </w:t>
      </w:r>
      <w:r w:rsidRPr="00AF57EF">
        <w:rPr>
          <w:rFonts w:eastAsiaTheme="minorEastAsia"/>
          <w:b/>
          <w:bCs/>
          <w:sz w:val="22"/>
          <w:szCs w:val="22"/>
          <w:lang w:val="pt-PT"/>
        </w:rPr>
        <w:t>de mayo de 2026 – Albourgh Tyres presenta durante THE TIRE COLOGNE 2026 el siguiente paso en el desarrollo de la marca. Tras la creación de una gama completa de neumáticos para camiones y remolques, Albourgh amplía aún más su cartera hacia aplicaciones especializadas en neumáticos macizos industriales, equipos portuarios, maquinaria de construcción y silvicultura.</w:t>
      </w:r>
    </w:p>
    <w:p w14:paraId="74B7721B" w14:textId="129E2ED0" w:rsidR="003A1D2F" w:rsidRPr="00AF57EF" w:rsidRDefault="003A1D2F" w:rsidP="4D4436EE">
      <w:pPr>
        <w:spacing w:line="288" w:lineRule="auto"/>
        <w:rPr>
          <w:rFonts w:eastAsiaTheme="minorEastAsia"/>
          <w:b/>
          <w:bCs/>
          <w:sz w:val="22"/>
          <w:szCs w:val="22"/>
          <w:lang w:val="pt-PT"/>
        </w:rPr>
      </w:pPr>
    </w:p>
    <w:p w14:paraId="21928CBB" w14:textId="2EEF231E" w:rsidR="003A1D2F" w:rsidRPr="00AF57EF" w:rsidRDefault="47101B24" w:rsidP="6F8C1F1D">
      <w:pPr>
        <w:spacing w:line="288" w:lineRule="auto"/>
        <w:rPr>
          <w:rFonts w:eastAsiaTheme="minorEastAsia"/>
          <w:sz w:val="22"/>
          <w:szCs w:val="22"/>
          <w:lang w:val="pt-PT"/>
        </w:rPr>
      </w:pPr>
      <w:r w:rsidRPr="00AF57EF">
        <w:rPr>
          <w:rFonts w:eastAsiaTheme="minorEastAsia"/>
          <w:sz w:val="22"/>
          <w:szCs w:val="22"/>
          <w:lang w:val="pt-PT"/>
        </w:rPr>
        <w:t>La participación en la feria de Colonia muestra cómo Albourgh se está desarrollando paso a paso: de una marca con una sólida base en el transporte a un socio más amplio en neumáticos para aplicaciones profesionales e intensivas. Para los segmentos de puertos, construcción y silvicultura, Albourgh presentará durante la feria un neumático específico de su cartera para cada aplicación.</w:t>
      </w:r>
    </w:p>
    <w:p w14:paraId="7D643A0F" w14:textId="1F025EDA" w:rsidR="003A1D2F" w:rsidRPr="00AF57EF" w:rsidRDefault="003A1D2F" w:rsidP="6F8C1F1D">
      <w:pPr>
        <w:spacing w:line="288" w:lineRule="auto"/>
        <w:rPr>
          <w:rFonts w:eastAsiaTheme="minorEastAsia"/>
          <w:sz w:val="22"/>
          <w:szCs w:val="22"/>
          <w:lang w:val="pt-PT"/>
        </w:rPr>
      </w:pPr>
    </w:p>
    <w:p w14:paraId="6F83AB70" w14:textId="0FFCBFFF" w:rsidR="003A1D2F" w:rsidRPr="00AF57EF" w:rsidRDefault="47101B24" w:rsidP="6F8C1F1D">
      <w:pPr>
        <w:spacing w:line="288" w:lineRule="auto"/>
        <w:rPr>
          <w:lang w:val="pt-PT"/>
        </w:rPr>
      </w:pPr>
      <w:r w:rsidRPr="00AF57EF">
        <w:rPr>
          <w:rFonts w:eastAsiaTheme="minorEastAsia"/>
          <w:sz w:val="22"/>
          <w:szCs w:val="22"/>
          <w:lang w:val="pt-PT"/>
        </w:rPr>
        <w:t xml:space="preserve">“Para nosotros, el orden fue muy deliberado”, afirma Jeroen Vos, </w:t>
      </w:r>
      <w:r w:rsidR="6314478A" w:rsidRPr="00AF57EF">
        <w:rPr>
          <w:rFonts w:eastAsiaTheme="minorEastAsia"/>
          <w:sz w:val="22"/>
          <w:szCs w:val="22"/>
          <w:lang w:val="pt-PT"/>
        </w:rPr>
        <w:t>el director Albourgh</w:t>
      </w:r>
      <w:r w:rsidRPr="00AF57EF">
        <w:rPr>
          <w:rFonts w:eastAsiaTheme="minorEastAsia"/>
          <w:sz w:val="22"/>
          <w:szCs w:val="22"/>
          <w:lang w:val="pt-PT"/>
        </w:rPr>
        <w:t>. “Comenzamos creando una gama completa para camiones y remolques. Solo después empezamos a expandirnos hacia otros segmentos, de modo que contáramos con una base sólida sobre la cual seguir construyendo”.</w:t>
      </w:r>
    </w:p>
    <w:p w14:paraId="0C5FE87C" w14:textId="3D8F1AA0" w:rsidR="003A1D2F" w:rsidRPr="00AF57EF" w:rsidRDefault="003A1D2F" w:rsidP="6F8C1F1D">
      <w:pPr>
        <w:spacing w:line="288" w:lineRule="auto"/>
        <w:rPr>
          <w:rFonts w:eastAsiaTheme="minorEastAsia"/>
          <w:sz w:val="22"/>
          <w:szCs w:val="22"/>
          <w:lang w:val="pt-PT"/>
        </w:rPr>
      </w:pPr>
    </w:p>
    <w:p w14:paraId="3984D62D" w14:textId="34ACAE09" w:rsidR="6A5DD33F" w:rsidRPr="00AF57EF" w:rsidRDefault="6A5DD33F" w:rsidP="6F8C1F1D">
      <w:pPr>
        <w:spacing w:line="288" w:lineRule="auto"/>
        <w:rPr>
          <w:rFonts w:eastAsiaTheme="minorEastAsia"/>
          <w:b/>
          <w:bCs/>
          <w:sz w:val="22"/>
          <w:szCs w:val="22"/>
          <w:lang w:val="pt-PT"/>
        </w:rPr>
      </w:pPr>
      <w:r w:rsidRPr="00AF57EF">
        <w:rPr>
          <w:rFonts w:eastAsiaTheme="minorEastAsia"/>
          <w:b/>
          <w:bCs/>
          <w:sz w:val="22"/>
          <w:szCs w:val="22"/>
          <w:lang w:val="pt-PT"/>
        </w:rPr>
        <w:t>La base en el transporte como fundamento del crecimiento</w:t>
      </w:r>
    </w:p>
    <w:p w14:paraId="728682F5" w14:textId="14C71CA4" w:rsidR="6A5DD33F" w:rsidRPr="00AF57EF" w:rsidRDefault="6A5DD33F" w:rsidP="6F8C1F1D">
      <w:pPr>
        <w:spacing w:line="288" w:lineRule="auto"/>
        <w:rPr>
          <w:rFonts w:eastAsiaTheme="minorEastAsia"/>
          <w:sz w:val="22"/>
          <w:szCs w:val="22"/>
          <w:lang w:val="pt-PT"/>
        </w:rPr>
      </w:pPr>
      <w:r w:rsidRPr="00AF57EF">
        <w:rPr>
          <w:rFonts w:eastAsiaTheme="minorEastAsia"/>
          <w:sz w:val="22"/>
          <w:szCs w:val="22"/>
          <w:lang w:val="pt-PT"/>
        </w:rPr>
        <w:t>Desde la introducción de las primeras líneas de neumáticos en 2021, Albourgh ha creado en poco tiempo una gama amplia y competitiva para aplicaciones de camiones y remolques. En 2023 y 2024, esta oferta se amplió aún más hasta convertirse en una propuesta completa para el sector del transporte.</w:t>
      </w:r>
    </w:p>
    <w:p w14:paraId="47014411" w14:textId="059B284B" w:rsidR="6F8C1F1D" w:rsidRPr="00AF57EF" w:rsidRDefault="6F8C1F1D" w:rsidP="6F8C1F1D">
      <w:pPr>
        <w:spacing w:line="288" w:lineRule="auto"/>
        <w:rPr>
          <w:rFonts w:eastAsiaTheme="minorEastAsia"/>
          <w:sz w:val="22"/>
          <w:szCs w:val="22"/>
          <w:lang w:val="pt-PT"/>
        </w:rPr>
      </w:pPr>
    </w:p>
    <w:p w14:paraId="2C2A5A44" w14:textId="5F8A296B" w:rsidR="6A5DD33F" w:rsidRPr="00AF57EF" w:rsidRDefault="6A5DD33F" w:rsidP="6F8C1F1D">
      <w:pPr>
        <w:spacing w:line="288" w:lineRule="auto"/>
        <w:rPr>
          <w:lang w:val="pt-PT"/>
        </w:rPr>
      </w:pPr>
      <w:r w:rsidRPr="00AF57EF">
        <w:rPr>
          <w:rFonts w:eastAsiaTheme="minorEastAsia"/>
          <w:sz w:val="22"/>
          <w:szCs w:val="22"/>
          <w:lang w:val="pt-PT"/>
        </w:rPr>
        <w:t>Este desarrollo ha llevado a una creciente aceptación en el mercado. Tanto empresas de transporte como fabricantes OEM han incorporado Albourgh a sus actividades. Con ello, la marca cuenta con una sólida posición de partida para seguir creciendo en segmentos adyacentes.</w:t>
      </w:r>
    </w:p>
    <w:p w14:paraId="6DD24508" w14:textId="373024DB" w:rsidR="6F8C1F1D" w:rsidRPr="00AF57EF" w:rsidRDefault="6F8C1F1D" w:rsidP="6F8C1F1D">
      <w:pPr>
        <w:spacing w:line="288" w:lineRule="auto"/>
        <w:rPr>
          <w:rFonts w:eastAsiaTheme="minorEastAsia"/>
          <w:sz w:val="22"/>
          <w:szCs w:val="22"/>
          <w:lang w:val="pt-PT"/>
        </w:rPr>
      </w:pPr>
    </w:p>
    <w:p w14:paraId="67BB0F33" w14:textId="620EDE43" w:rsidR="6A5DD33F" w:rsidRPr="00AF57EF" w:rsidRDefault="6A5DD33F" w:rsidP="6F8C1F1D">
      <w:pPr>
        <w:spacing w:line="288" w:lineRule="auto"/>
        <w:rPr>
          <w:rFonts w:eastAsiaTheme="minorEastAsia"/>
          <w:sz w:val="22"/>
          <w:szCs w:val="22"/>
          <w:lang w:val="pt-PT"/>
        </w:rPr>
      </w:pPr>
      <w:r w:rsidRPr="00AF57EF">
        <w:rPr>
          <w:rFonts w:eastAsiaTheme="minorEastAsia"/>
          <w:sz w:val="22"/>
          <w:szCs w:val="22"/>
          <w:lang w:val="pt-PT"/>
        </w:rPr>
        <w:t>Durante THE TIRE COLOGNE 2026, Albourgh también presentará dos nuevos neumáticos para camión:</w:t>
      </w:r>
    </w:p>
    <w:p w14:paraId="17329F39" w14:textId="12015C4B" w:rsidR="6A5DD33F" w:rsidRPr="00AF57EF" w:rsidRDefault="6A5DD33F" w:rsidP="6F8C1F1D">
      <w:pPr>
        <w:pStyle w:val="Lijstalinea"/>
        <w:numPr>
          <w:ilvl w:val="0"/>
          <w:numId w:val="2"/>
        </w:numPr>
        <w:rPr>
          <w:lang w:val="pt-PT"/>
        </w:rPr>
      </w:pPr>
      <w:r w:rsidRPr="00AF57EF">
        <w:rPr>
          <w:lang w:val="pt-PT"/>
        </w:rPr>
        <w:t>Across D+: desarrollado para una tracción y durabilidad óptimas en aplicaciones regionales y de larga distancia.</w:t>
      </w:r>
    </w:p>
    <w:p w14:paraId="6BBED234" w14:textId="2323EBCE" w:rsidR="6A5DD33F" w:rsidRPr="00AF57EF" w:rsidRDefault="6A5DD33F" w:rsidP="6F8C1F1D">
      <w:pPr>
        <w:pStyle w:val="Lijstalinea"/>
        <w:numPr>
          <w:ilvl w:val="0"/>
          <w:numId w:val="2"/>
        </w:numPr>
        <w:rPr>
          <w:lang w:val="pt-PT"/>
        </w:rPr>
      </w:pPr>
      <w:r w:rsidRPr="00AF57EF">
        <w:rPr>
          <w:lang w:val="pt-PT"/>
        </w:rPr>
        <w:t>Endure D: orientado a un alto kilometraje y a un rendimiento robusto bajo condiciones de uso exigentes.</w:t>
      </w:r>
    </w:p>
    <w:p w14:paraId="41AC6983" w14:textId="3FE1EBF9" w:rsidR="003A1D2F" w:rsidRPr="00AF57EF" w:rsidRDefault="003A1D2F" w:rsidP="4D4436EE">
      <w:pPr>
        <w:spacing w:line="288" w:lineRule="auto"/>
        <w:rPr>
          <w:rFonts w:eastAsiaTheme="minorEastAsia"/>
          <w:sz w:val="22"/>
          <w:szCs w:val="22"/>
          <w:lang w:val="pt-PT"/>
        </w:rPr>
      </w:pPr>
    </w:p>
    <w:p w14:paraId="386B624D" w14:textId="57980D90" w:rsidR="003A1D2F" w:rsidRPr="00AF57EF" w:rsidRDefault="6A5DD33F" w:rsidP="6F8C1F1D">
      <w:pPr>
        <w:spacing w:line="288" w:lineRule="auto"/>
        <w:rPr>
          <w:rFonts w:eastAsiaTheme="minorEastAsia"/>
          <w:b/>
          <w:bCs/>
          <w:sz w:val="22"/>
          <w:szCs w:val="22"/>
          <w:lang w:val="pt-PT"/>
        </w:rPr>
      </w:pPr>
      <w:r w:rsidRPr="00AF57EF">
        <w:rPr>
          <w:rFonts w:eastAsiaTheme="minorEastAsia"/>
          <w:b/>
          <w:bCs/>
          <w:sz w:val="22"/>
          <w:szCs w:val="22"/>
          <w:lang w:val="pt-PT"/>
        </w:rPr>
        <w:t>Albourgh Core Series demuestra su valor en neumáticos macizos industriales</w:t>
      </w:r>
    </w:p>
    <w:p w14:paraId="6E9E421D" w14:textId="650B0FCC" w:rsidR="003A1D2F" w:rsidRPr="00AF57EF" w:rsidRDefault="6A5DD33F" w:rsidP="6F8C1F1D">
      <w:pPr>
        <w:spacing w:line="288" w:lineRule="auto"/>
        <w:rPr>
          <w:rFonts w:eastAsiaTheme="minorEastAsia"/>
          <w:sz w:val="22"/>
          <w:szCs w:val="22"/>
          <w:lang w:val="pt-PT"/>
        </w:rPr>
      </w:pPr>
      <w:r w:rsidRPr="00AF57EF">
        <w:rPr>
          <w:rFonts w:eastAsiaTheme="minorEastAsia"/>
          <w:sz w:val="22"/>
          <w:szCs w:val="22"/>
          <w:lang w:val="pt-PT"/>
        </w:rPr>
        <w:t xml:space="preserve">La primera expansión fuera del segmento del transporte llegó con la introducción de la Core Series para neumáticos macizos industriales. Esta línea de productos ha sido desarrollada para entornos de </w:t>
      </w:r>
      <w:r w:rsidRPr="00AF57EF">
        <w:rPr>
          <w:rFonts w:eastAsiaTheme="minorEastAsia"/>
          <w:sz w:val="22"/>
          <w:szCs w:val="22"/>
          <w:lang w:val="pt-PT"/>
        </w:rPr>
        <w:lastRenderedPageBreak/>
        <w:t>trabajo donde la alta capacidad de carga, la resistencia a pinchazos y la continuidad son esenciales, como el reciclaje, la manipulación de cargas y las aplicaciones industriales pesadas.</w:t>
      </w:r>
    </w:p>
    <w:p w14:paraId="053D78C6" w14:textId="2FCE77EC" w:rsidR="003A1D2F" w:rsidRPr="00AF57EF" w:rsidRDefault="003A1D2F" w:rsidP="6F8C1F1D">
      <w:pPr>
        <w:spacing w:line="288" w:lineRule="auto"/>
        <w:rPr>
          <w:rFonts w:eastAsiaTheme="minorEastAsia"/>
          <w:sz w:val="22"/>
          <w:szCs w:val="22"/>
          <w:lang w:val="pt-PT"/>
        </w:rPr>
      </w:pPr>
    </w:p>
    <w:p w14:paraId="1DDAF5B9" w14:textId="54BCC7D6" w:rsidR="003A1D2F" w:rsidRPr="00AF57EF" w:rsidRDefault="6A5DD33F" w:rsidP="6F8C1F1D">
      <w:pPr>
        <w:spacing w:line="288" w:lineRule="auto"/>
        <w:rPr>
          <w:lang w:val="pt-PT"/>
        </w:rPr>
      </w:pPr>
      <w:r w:rsidRPr="00AF57EF">
        <w:rPr>
          <w:rFonts w:eastAsiaTheme="minorEastAsia"/>
          <w:sz w:val="22"/>
          <w:szCs w:val="22"/>
          <w:lang w:val="pt-PT"/>
        </w:rPr>
        <w:t>La Core Series ya está siendo utilizada por clientes en varios mercados europeos, entre ellos Francia y Rumanía. Con ello, la línea de productos confirma su relevancia en aplicaciones donde el tiempo de inactividad tiene un impacto directo en la operación.</w:t>
      </w:r>
    </w:p>
    <w:p w14:paraId="4A75FE2C" w14:textId="621A58AD" w:rsidR="003A1D2F" w:rsidRPr="00AF57EF" w:rsidRDefault="003A1D2F" w:rsidP="6F8C1F1D">
      <w:pPr>
        <w:spacing w:line="288" w:lineRule="auto"/>
        <w:rPr>
          <w:rFonts w:eastAsiaTheme="minorEastAsia"/>
          <w:sz w:val="22"/>
          <w:szCs w:val="22"/>
          <w:lang w:val="pt-PT"/>
        </w:rPr>
      </w:pPr>
    </w:p>
    <w:p w14:paraId="09FADA5F" w14:textId="169EFF77" w:rsidR="003A1D2F" w:rsidRPr="00AF57EF" w:rsidRDefault="6A5DD33F" w:rsidP="6F8C1F1D">
      <w:pPr>
        <w:spacing w:line="288" w:lineRule="auto"/>
        <w:rPr>
          <w:lang w:val="pt-PT"/>
        </w:rPr>
      </w:pPr>
      <w:r w:rsidRPr="00AF57EF">
        <w:rPr>
          <w:rFonts w:eastAsiaTheme="minorEastAsia"/>
          <w:sz w:val="22"/>
          <w:szCs w:val="22"/>
          <w:lang w:val="pt-PT"/>
        </w:rPr>
        <w:t>“Con la Core Series elegimos deliberadamente aplicaciones en las que la fiabilidad y el tiempo de actividad son decisivos”, explica Vos. “Los primeros resultados en el mercado demuestran que este enfoque funciona”.</w:t>
      </w:r>
    </w:p>
    <w:p w14:paraId="125410CA" w14:textId="5D5E6B9B" w:rsidR="003A1D2F" w:rsidRPr="00AF57EF" w:rsidRDefault="003A1D2F" w:rsidP="6F8C1F1D">
      <w:pPr>
        <w:spacing w:line="288" w:lineRule="auto"/>
        <w:rPr>
          <w:rFonts w:eastAsiaTheme="minorEastAsia"/>
          <w:sz w:val="22"/>
          <w:szCs w:val="22"/>
          <w:lang w:val="pt-PT"/>
        </w:rPr>
      </w:pPr>
    </w:p>
    <w:p w14:paraId="2C4608D8" w14:textId="79C90648" w:rsidR="6A5DD33F" w:rsidRPr="00AF57EF" w:rsidRDefault="6A5DD33F" w:rsidP="6F8C1F1D">
      <w:pPr>
        <w:spacing w:line="288" w:lineRule="auto"/>
        <w:rPr>
          <w:rFonts w:eastAsiaTheme="minorEastAsia"/>
          <w:b/>
          <w:bCs/>
          <w:sz w:val="22"/>
          <w:szCs w:val="22"/>
          <w:lang w:val="pt-PT"/>
        </w:rPr>
      </w:pPr>
      <w:r w:rsidRPr="00AF57EF">
        <w:rPr>
          <w:rFonts w:eastAsiaTheme="minorEastAsia"/>
          <w:b/>
          <w:bCs/>
          <w:sz w:val="22"/>
          <w:szCs w:val="22"/>
          <w:lang w:val="pt-PT"/>
        </w:rPr>
        <w:t>De la ampliación de producto al desarrollo orientado a la aplicación</w:t>
      </w:r>
    </w:p>
    <w:p w14:paraId="44599099" w14:textId="0EEF69D5" w:rsidR="6A5DD33F" w:rsidRPr="00AF57EF" w:rsidRDefault="6A5DD33F" w:rsidP="6F8C1F1D">
      <w:pPr>
        <w:spacing w:line="288" w:lineRule="auto"/>
        <w:rPr>
          <w:rFonts w:eastAsiaTheme="minorEastAsia"/>
          <w:sz w:val="22"/>
          <w:szCs w:val="22"/>
          <w:lang w:val="pt-PT"/>
        </w:rPr>
      </w:pPr>
      <w:r w:rsidRPr="00AF57EF">
        <w:rPr>
          <w:rFonts w:eastAsiaTheme="minorEastAsia"/>
          <w:sz w:val="22"/>
          <w:szCs w:val="22"/>
          <w:lang w:val="pt-PT"/>
        </w:rPr>
        <w:t>Tras los neumáticos macizos industriales, Albourgh amplía aún más su cartera hacia tres nuevos ámbitos de aplicación: puertos, construcción y silvicultura. Para cada uno de estos segmentos, la marca introduce un neumático específico, desarrollado sobre la base del uso práctico y los requisitos técnicos:</w:t>
      </w:r>
    </w:p>
    <w:p w14:paraId="6C265126" w14:textId="20844908" w:rsidR="73E07A7E" w:rsidRPr="00AF57EF" w:rsidRDefault="73E07A7E" w:rsidP="73E07A7E">
      <w:pPr>
        <w:spacing w:line="288" w:lineRule="auto"/>
        <w:rPr>
          <w:rFonts w:eastAsiaTheme="minorEastAsia"/>
          <w:sz w:val="22"/>
          <w:szCs w:val="22"/>
          <w:lang w:val="pt-PT"/>
        </w:rPr>
      </w:pPr>
    </w:p>
    <w:p w14:paraId="5D9FF009" w14:textId="0E750406" w:rsidR="6A5DD33F" w:rsidRPr="00AF57EF" w:rsidRDefault="6A5DD33F" w:rsidP="6F8C1F1D">
      <w:pPr>
        <w:pStyle w:val="Lijstalinea"/>
        <w:numPr>
          <w:ilvl w:val="0"/>
          <w:numId w:val="1"/>
        </w:numPr>
        <w:spacing w:line="288" w:lineRule="auto"/>
        <w:rPr>
          <w:rFonts w:eastAsiaTheme="minorEastAsia"/>
          <w:sz w:val="22"/>
          <w:szCs w:val="22"/>
          <w:lang w:val="pt-PT"/>
        </w:rPr>
      </w:pPr>
      <w:r w:rsidRPr="00AF57EF">
        <w:rPr>
          <w:rFonts w:eastAsiaTheme="minorEastAsia"/>
          <w:sz w:val="22"/>
          <w:szCs w:val="22"/>
          <w:lang w:val="pt-PT"/>
        </w:rPr>
        <w:t>Port Move: diseñado para un uso intensivo en entornos portuarios y de terminales.</w:t>
      </w:r>
    </w:p>
    <w:p w14:paraId="45D8EAB8" w14:textId="6AD4CF81" w:rsidR="6A5DD33F" w:rsidRPr="00AF57EF" w:rsidRDefault="6A5DD33F" w:rsidP="6F8C1F1D">
      <w:pPr>
        <w:pStyle w:val="Lijstalinea"/>
        <w:numPr>
          <w:ilvl w:val="0"/>
          <w:numId w:val="1"/>
        </w:numPr>
        <w:rPr>
          <w:lang w:val="pt-PT"/>
        </w:rPr>
      </w:pPr>
      <w:r w:rsidRPr="00AF57EF">
        <w:rPr>
          <w:lang w:val="pt-PT"/>
        </w:rPr>
        <w:t>Allworks: un neumático versátil para aplicaciones de construcción e infraestructuras.</w:t>
      </w:r>
    </w:p>
    <w:p w14:paraId="4CE0D1E6" w14:textId="153832DF" w:rsidR="6A5DD33F" w:rsidRPr="00AF57EF" w:rsidRDefault="6A5DD33F" w:rsidP="6F8C1F1D">
      <w:pPr>
        <w:pStyle w:val="Lijstalinea"/>
        <w:numPr>
          <w:ilvl w:val="0"/>
          <w:numId w:val="1"/>
        </w:numPr>
        <w:rPr>
          <w:lang w:val="pt-PT"/>
        </w:rPr>
      </w:pPr>
      <w:r w:rsidRPr="53CD7EDC">
        <w:rPr>
          <w:lang w:val="pt-PT"/>
        </w:rPr>
        <w:t>Forest Traction: específicamente adaptado a los elevados requisitos de tracción y carga en silvicultura.</w:t>
      </w:r>
    </w:p>
    <w:p w14:paraId="2D4289C1" w14:textId="6CAAC57C" w:rsidR="73E07A7E" w:rsidRPr="00AF57EF" w:rsidRDefault="73E07A7E" w:rsidP="73E07A7E">
      <w:pPr>
        <w:pStyle w:val="Lijstalinea"/>
        <w:spacing w:line="288" w:lineRule="auto"/>
        <w:rPr>
          <w:rFonts w:eastAsiaTheme="minorEastAsia"/>
          <w:sz w:val="22"/>
          <w:szCs w:val="22"/>
          <w:lang w:val="pt-PT"/>
        </w:rPr>
      </w:pPr>
    </w:p>
    <w:p w14:paraId="1CB5C27F" w14:textId="0DD7110E" w:rsidR="73E07A7E" w:rsidRPr="00AF57EF" w:rsidRDefault="6A5DD33F" w:rsidP="73E07A7E">
      <w:pPr>
        <w:spacing w:line="288" w:lineRule="auto"/>
        <w:rPr>
          <w:lang w:val="pt-PT"/>
        </w:rPr>
      </w:pPr>
      <w:r w:rsidRPr="00AF57EF">
        <w:rPr>
          <w:rFonts w:eastAsiaTheme="minorEastAsia"/>
          <w:sz w:val="22"/>
          <w:szCs w:val="22"/>
          <w:lang w:val="pt-PT"/>
        </w:rPr>
        <w:t>El desarrollo de estos neumáticos va más allá de la segmentación o las dimensiones. En Albourgh, la aplicación ocupa un lugar central. Factores como la duración de uso, el tipo de superficie, la carga, la necesidad de tracción y el patrón de desgaste determinan cómo se desarrolla y se prueba un neumático.</w:t>
      </w:r>
    </w:p>
    <w:p w14:paraId="001F5C7B" w14:textId="4FF0FFBC" w:rsidR="73E07A7E" w:rsidRPr="00AF57EF" w:rsidRDefault="73E07A7E" w:rsidP="6F8C1F1D">
      <w:pPr>
        <w:spacing w:line="288" w:lineRule="auto"/>
        <w:rPr>
          <w:rFonts w:eastAsiaTheme="minorEastAsia"/>
          <w:sz w:val="22"/>
          <w:szCs w:val="22"/>
          <w:lang w:val="pt-PT"/>
        </w:rPr>
      </w:pPr>
    </w:p>
    <w:p w14:paraId="518A4038" w14:textId="7D6E8ADC" w:rsidR="73E07A7E" w:rsidRPr="00AF57EF" w:rsidRDefault="6A5DD33F" w:rsidP="6F8C1F1D">
      <w:pPr>
        <w:spacing w:line="288" w:lineRule="auto"/>
        <w:rPr>
          <w:lang w:val="pt-PT"/>
        </w:rPr>
      </w:pPr>
      <w:r w:rsidRPr="00AF57EF">
        <w:rPr>
          <w:rFonts w:eastAsiaTheme="minorEastAsia"/>
          <w:sz w:val="22"/>
          <w:szCs w:val="22"/>
          <w:lang w:val="pt-PT"/>
        </w:rPr>
        <w:t>“Un neumático para un tractor de terminal requiere algo muy distinto a un neumático para una máquina forestal”, afirma Vos. “Por eso no solo observamos el vehículo, sino sobre todo el trabajo que debe realizar el neumático”.</w:t>
      </w:r>
    </w:p>
    <w:p w14:paraId="41F2A7F0" w14:textId="78EACD36" w:rsidR="003A1D2F" w:rsidRPr="00AF57EF" w:rsidRDefault="003A1D2F" w:rsidP="4D4436EE">
      <w:pPr>
        <w:spacing w:line="288" w:lineRule="auto"/>
        <w:rPr>
          <w:rFonts w:eastAsiaTheme="minorEastAsia"/>
          <w:sz w:val="22"/>
          <w:szCs w:val="22"/>
          <w:lang w:val="pt-PT"/>
        </w:rPr>
      </w:pPr>
    </w:p>
    <w:p w14:paraId="08E277CA" w14:textId="396913CA" w:rsidR="6A5DD33F" w:rsidRPr="00AF57EF" w:rsidRDefault="6A5DD33F" w:rsidP="6F8C1F1D">
      <w:pPr>
        <w:spacing w:line="288" w:lineRule="auto"/>
        <w:rPr>
          <w:rFonts w:eastAsiaTheme="minorEastAsia"/>
          <w:b/>
          <w:bCs/>
          <w:sz w:val="22"/>
          <w:szCs w:val="22"/>
          <w:lang w:val="pt-PT"/>
        </w:rPr>
      </w:pPr>
      <w:r w:rsidRPr="00AF57EF">
        <w:rPr>
          <w:rFonts w:eastAsiaTheme="minorEastAsia"/>
          <w:b/>
          <w:bCs/>
          <w:sz w:val="22"/>
          <w:szCs w:val="22"/>
          <w:lang w:val="pt-PT"/>
        </w:rPr>
        <w:t>Estreno durante THE TIRE COLOGNE 2026</w:t>
      </w:r>
    </w:p>
    <w:p w14:paraId="1114125E" w14:textId="42D68419" w:rsidR="6A5DD33F" w:rsidRPr="00AF57EF" w:rsidRDefault="6A5DD33F" w:rsidP="6F8C1F1D">
      <w:pPr>
        <w:spacing w:line="288" w:lineRule="auto"/>
        <w:rPr>
          <w:rFonts w:eastAsiaTheme="minorEastAsia"/>
          <w:sz w:val="22"/>
          <w:szCs w:val="22"/>
          <w:lang w:val="pt-PT"/>
        </w:rPr>
      </w:pPr>
      <w:r w:rsidRPr="00AF57EF">
        <w:rPr>
          <w:rFonts w:eastAsiaTheme="minorEastAsia"/>
          <w:sz w:val="22"/>
          <w:szCs w:val="22"/>
          <w:lang w:val="pt-PT"/>
        </w:rPr>
        <w:t>Durante THE TIRE COLOGNE 2026, que tendrá lugar del 9 al 11 de junio en Colonia, Albourgh presentará la ampliación de su cartera al mercado internacional de neumáticos. Los visitantes podrán encontrar a Albourgh en el Pabellón 07.1 | Stand B028–C029, donde la marca mostrará las nuevas soluciones para puertos, construcción y silvicultura, así como las últimas ampliaciones dentro del segmento de camiones.</w:t>
      </w:r>
    </w:p>
    <w:p w14:paraId="53F7FD2E" w14:textId="1FB64A92" w:rsidR="6F8C1F1D" w:rsidRPr="00AF57EF" w:rsidRDefault="6F8C1F1D" w:rsidP="6F8C1F1D">
      <w:pPr>
        <w:spacing w:line="288" w:lineRule="auto"/>
        <w:rPr>
          <w:rFonts w:eastAsiaTheme="minorEastAsia"/>
          <w:sz w:val="22"/>
          <w:szCs w:val="22"/>
          <w:lang w:val="pt-PT"/>
        </w:rPr>
      </w:pPr>
    </w:p>
    <w:p w14:paraId="2218CFA6" w14:textId="766EE344" w:rsidR="6A5DD33F" w:rsidRPr="00AF57EF" w:rsidRDefault="6A5DD33F" w:rsidP="6F8C1F1D">
      <w:pPr>
        <w:spacing w:line="288" w:lineRule="auto"/>
        <w:rPr>
          <w:lang w:val="pt-PT"/>
        </w:rPr>
      </w:pPr>
      <w:r w:rsidRPr="00AF57EF">
        <w:rPr>
          <w:rFonts w:eastAsiaTheme="minorEastAsia"/>
          <w:sz w:val="22"/>
          <w:szCs w:val="22"/>
          <w:lang w:val="pt-PT"/>
        </w:rPr>
        <w:t>La participación en la feria marca así un momento importante en el posicionamiento futuro de Albourgh: de una sólida marca TBR a un socio amplio para soluciones profesionales de neumáticos en aplicaciones exigentes.</w:t>
      </w:r>
    </w:p>
    <w:p w14:paraId="5D5317DC" w14:textId="03418357" w:rsidR="6F8C1F1D" w:rsidRPr="00AF57EF" w:rsidRDefault="6F8C1F1D" w:rsidP="6F8C1F1D">
      <w:pPr>
        <w:spacing w:line="288" w:lineRule="auto"/>
        <w:rPr>
          <w:rFonts w:eastAsiaTheme="minorEastAsia"/>
          <w:sz w:val="22"/>
          <w:szCs w:val="22"/>
          <w:lang w:val="pt-PT"/>
        </w:rPr>
      </w:pPr>
    </w:p>
    <w:p w14:paraId="2774CF6A" w14:textId="6E3D6079" w:rsidR="003A1D2F" w:rsidRPr="00AF57EF" w:rsidRDefault="1C89674B" w:rsidP="4D4436EE">
      <w:pPr>
        <w:spacing w:line="288" w:lineRule="auto"/>
        <w:rPr>
          <w:rFonts w:eastAsiaTheme="minorEastAsia"/>
          <w:sz w:val="22"/>
          <w:szCs w:val="22"/>
          <w:lang w:val="pt-PT"/>
        </w:rPr>
      </w:pPr>
      <w:r w:rsidRPr="00AF57EF">
        <w:rPr>
          <w:rFonts w:eastAsiaTheme="minorEastAsia"/>
          <w:sz w:val="22"/>
          <w:szCs w:val="22"/>
          <w:lang w:val="pt-PT"/>
        </w:rPr>
        <w:t xml:space="preserve"> </w:t>
      </w:r>
    </w:p>
    <w:p w14:paraId="69AF1046" w14:textId="29485900" w:rsidR="1107BC8B" w:rsidRPr="009708E1" w:rsidRDefault="1107BC8B" w:rsidP="6F8C1F1D">
      <w:pPr>
        <w:spacing w:line="288" w:lineRule="auto"/>
        <w:rPr>
          <w:rFonts w:eastAsiaTheme="minorEastAsia"/>
          <w:b/>
          <w:bCs/>
          <w:sz w:val="28"/>
          <w:szCs w:val="28"/>
          <w:lang w:val="pt-PT"/>
        </w:rPr>
      </w:pPr>
      <w:r w:rsidRPr="009708E1">
        <w:rPr>
          <w:rFonts w:eastAsiaTheme="minorEastAsia"/>
          <w:b/>
          <w:bCs/>
          <w:sz w:val="28"/>
          <w:szCs w:val="28"/>
          <w:lang w:val="pt-PT"/>
        </w:rPr>
        <w:lastRenderedPageBreak/>
        <w:t>FIN DEL MENSAJE</w:t>
      </w:r>
    </w:p>
    <w:p w14:paraId="5B9B95B7" w14:textId="6903A7B2" w:rsidR="6F8C1F1D" w:rsidRPr="009708E1" w:rsidRDefault="6F8C1F1D" w:rsidP="6F8C1F1D">
      <w:pPr>
        <w:spacing w:line="288" w:lineRule="auto"/>
        <w:rPr>
          <w:rFonts w:eastAsiaTheme="minorEastAsia"/>
          <w:b/>
          <w:bCs/>
          <w:sz w:val="28"/>
          <w:szCs w:val="28"/>
          <w:lang w:val="pt-PT"/>
        </w:rPr>
      </w:pPr>
    </w:p>
    <w:p w14:paraId="61B15BD5" w14:textId="57151B4E" w:rsidR="1107BC8B" w:rsidRPr="00AF57EF" w:rsidRDefault="1107BC8B" w:rsidP="6F8C1F1D">
      <w:pPr>
        <w:spacing w:line="288" w:lineRule="auto"/>
        <w:rPr>
          <w:rFonts w:eastAsiaTheme="minorEastAsia"/>
          <w:i/>
          <w:iCs/>
          <w:sz w:val="22"/>
          <w:szCs w:val="22"/>
          <w:lang w:val="pt-PT"/>
        </w:rPr>
      </w:pPr>
      <w:r w:rsidRPr="00AF57EF">
        <w:rPr>
          <w:rFonts w:eastAsiaTheme="minorEastAsia"/>
          <w:i/>
          <w:iCs/>
          <w:sz w:val="22"/>
          <w:szCs w:val="22"/>
          <w:lang w:val="pt-PT"/>
        </w:rPr>
        <w:t>Nota para la redacción, no destinada a publicación:</w:t>
      </w:r>
    </w:p>
    <w:p w14:paraId="274B7C55" w14:textId="5271E655" w:rsidR="1107BC8B" w:rsidRPr="00AF57EF" w:rsidRDefault="1107BC8B" w:rsidP="6F8C1F1D">
      <w:pPr>
        <w:spacing w:line="288" w:lineRule="auto"/>
        <w:rPr>
          <w:rFonts w:eastAsiaTheme="minorEastAsia"/>
          <w:sz w:val="22"/>
          <w:szCs w:val="22"/>
          <w:lang w:val="pt-PT"/>
        </w:rPr>
      </w:pPr>
      <w:r w:rsidRPr="00AF57EF">
        <w:rPr>
          <w:rFonts w:eastAsiaTheme="minorEastAsia"/>
          <w:sz w:val="22"/>
          <w:szCs w:val="22"/>
          <w:lang w:val="pt-PT"/>
        </w:rPr>
        <w:t xml:space="preserve">Para más información sobre Albourgh Tyres, puede ponerse en contacto con el señor Jeroen Vos, </w:t>
      </w:r>
      <w:r w:rsidR="00AF57EF">
        <w:rPr>
          <w:rFonts w:eastAsiaTheme="minorEastAsia"/>
          <w:sz w:val="22"/>
          <w:szCs w:val="22"/>
          <w:lang w:val="pt-PT"/>
        </w:rPr>
        <w:t>Account Manager Albourgh</w:t>
      </w:r>
      <w:r w:rsidRPr="00AF57EF">
        <w:rPr>
          <w:rFonts w:eastAsiaTheme="minorEastAsia"/>
          <w:sz w:val="22"/>
          <w:szCs w:val="22"/>
          <w:lang w:val="pt-PT"/>
        </w:rPr>
        <w:t>, por correo electrónico en j.vos@</w:t>
      </w:r>
      <w:r w:rsidR="2D417233" w:rsidRPr="00AF57EF">
        <w:rPr>
          <w:rFonts w:eastAsiaTheme="minorEastAsia"/>
          <w:sz w:val="22"/>
          <w:szCs w:val="22"/>
          <w:lang w:val="pt-PT"/>
        </w:rPr>
        <w:t>albourgh</w:t>
      </w:r>
      <w:r w:rsidRPr="00AF57EF">
        <w:rPr>
          <w:rFonts w:eastAsiaTheme="minorEastAsia"/>
          <w:sz w:val="22"/>
          <w:szCs w:val="22"/>
          <w:lang w:val="pt-PT"/>
        </w:rPr>
        <w:t>.com.</w:t>
      </w:r>
    </w:p>
    <w:p w14:paraId="67518754" w14:textId="628C6CC6" w:rsidR="73E07A7E" w:rsidRPr="00AF57EF" w:rsidRDefault="73E07A7E" w:rsidP="73E07A7E">
      <w:pPr>
        <w:spacing w:line="288" w:lineRule="auto"/>
        <w:rPr>
          <w:rFonts w:eastAsiaTheme="minorEastAsia"/>
          <w:sz w:val="22"/>
          <w:szCs w:val="22"/>
          <w:lang w:val="pt-PT"/>
        </w:rPr>
      </w:pPr>
    </w:p>
    <w:p w14:paraId="0065DE9F" w14:textId="23ECD064" w:rsidR="003A1D2F" w:rsidRPr="00AF57EF" w:rsidRDefault="1C89674B" w:rsidP="4D4436EE">
      <w:pPr>
        <w:spacing w:line="288" w:lineRule="auto"/>
        <w:rPr>
          <w:rFonts w:eastAsiaTheme="minorEastAsia"/>
          <w:sz w:val="22"/>
          <w:szCs w:val="22"/>
          <w:lang w:val="pt-PT"/>
        </w:rPr>
      </w:pPr>
      <w:r w:rsidRPr="00AF57EF">
        <w:rPr>
          <w:rFonts w:eastAsiaTheme="minorEastAsia"/>
          <w:sz w:val="22"/>
          <w:szCs w:val="22"/>
          <w:lang w:val="pt-PT"/>
        </w:rPr>
        <w:t xml:space="preserve">  </w:t>
      </w:r>
    </w:p>
    <w:p w14:paraId="36B49FE9" w14:textId="2388FA84" w:rsidR="4762CA9A" w:rsidRPr="00AF57EF" w:rsidRDefault="4762CA9A" w:rsidP="6F8C1F1D">
      <w:pPr>
        <w:spacing w:line="288" w:lineRule="auto"/>
        <w:rPr>
          <w:rFonts w:eastAsiaTheme="minorEastAsia"/>
          <w:i/>
          <w:iCs/>
          <w:sz w:val="22"/>
          <w:szCs w:val="22"/>
          <w:lang w:val="pt-PT"/>
        </w:rPr>
      </w:pPr>
      <w:r w:rsidRPr="00AF57EF">
        <w:rPr>
          <w:rFonts w:eastAsiaTheme="minorEastAsia"/>
          <w:i/>
          <w:iCs/>
          <w:sz w:val="22"/>
          <w:szCs w:val="22"/>
          <w:lang w:val="pt-PT"/>
        </w:rPr>
        <w:t>Sobre Albourgh</w:t>
      </w:r>
    </w:p>
    <w:p w14:paraId="0807B2E9" w14:textId="4FBA46B7" w:rsidR="4762CA9A" w:rsidRPr="00AF57EF" w:rsidRDefault="4762CA9A" w:rsidP="6F8C1F1D">
      <w:pPr>
        <w:spacing w:line="288" w:lineRule="auto"/>
        <w:rPr>
          <w:lang w:val="pt-PT"/>
        </w:rPr>
      </w:pPr>
      <w:r w:rsidRPr="00AF57EF">
        <w:rPr>
          <w:rFonts w:eastAsiaTheme="minorEastAsia"/>
          <w:sz w:val="22"/>
          <w:szCs w:val="22"/>
          <w:lang w:val="pt-PT"/>
        </w:rPr>
        <w:t>Innovación líder y tecnología avanzada para una experiencia de conducción óptima. En Albourgh tenemos un impulso constante por ir más allá. Con nuestras últimas innovaciones y tecnologías, siempre damos un paso adicional para fortalecer la industria de los neumáticos y la movilidad. Nuestra planta de producción se encuentra entre las mejores del mundo, lo que subraya nuestra posición de liderazgo y refleja nuestra visión de futuro. Gracias a nuestra amplia experiencia en el mercado mundial de neumáticos, nos esforzamos por ofrecer la mejor solución a largo plazo. Para ello, tenemos en cuenta no solo la durabilidad del neumático y el impacto medioambiental, sino también todo el ciclo de vida y los costes asociados. Contamos con el respaldo de un equipo de profesionales apasionados que siempre van un paso más allá y se atreven a innovar e inspirar.</w:t>
      </w:r>
    </w:p>
    <w:p w14:paraId="30EF6ADA" w14:textId="6DCD732A" w:rsidR="6F8C1F1D" w:rsidRPr="00AF57EF" w:rsidRDefault="6F8C1F1D" w:rsidP="6F8C1F1D">
      <w:pPr>
        <w:spacing w:line="288" w:lineRule="auto"/>
        <w:rPr>
          <w:rFonts w:eastAsiaTheme="minorEastAsia"/>
          <w:sz w:val="22"/>
          <w:szCs w:val="22"/>
          <w:lang w:val="pt-PT"/>
        </w:rPr>
      </w:pPr>
    </w:p>
    <w:p w14:paraId="395C9A72" w14:textId="1F8BDA4D" w:rsidR="73E07A7E" w:rsidRPr="00AF57EF" w:rsidRDefault="73E07A7E" w:rsidP="73E07A7E">
      <w:pPr>
        <w:spacing w:line="288" w:lineRule="auto"/>
        <w:rPr>
          <w:rFonts w:eastAsiaTheme="minorEastAsia"/>
          <w:sz w:val="22"/>
          <w:szCs w:val="22"/>
          <w:lang w:val="pt-PT"/>
        </w:rPr>
      </w:pPr>
    </w:p>
    <w:sectPr w:rsidR="73E07A7E" w:rsidRPr="00AF57E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3FF4D" w14:textId="77777777" w:rsidR="00CB6BB4" w:rsidRDefault="00CB6BB4" w:rsidP="0020696A">
      <w:r>
        <w:separator/>
      </w:r>
    </w:p>
  </w:endnote>
  <w:endnote w:type="continuationSeparator" w:id="0">
    <w:p w14:paraId="574E7A08" w14:textId="77777777" w:rsidR="00CB6BB4" w:rsidRDefault="00CB6BB4" w:rsidP="00206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">
    <w:altName w:val="Calibri"/>
    <w:panose1 w:val="000007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675C6" w14:textId="77777777" w:rsidR="0020696A" w:rsidRDefault="0020696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675B9" w14:textId="77777777" w:rsidR="0020696A" w:rsidRDefault="0020696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D4229" w14:textId="77777777" w:rsidR="0020696A" w:rsidRDefault="0020696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27605" w14:textId="77777777" w:rsidR="00CB6BB4" w:rsidRDefault="00CB6BB4" w:rsidP="0020696A">
      <w:r>
        <w:separator/>
      </w:r>
    </w:p>
  </w:footnote>
  <w:footnote w:type="continuationSeparator" w:id="0">
    <w:p w14:paraId="7280C599" w14:textId="77777777" w:rsidR="00CB6BB4" w:rsidRDefault="00CB6BB4" w:rsidP="00206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9F781" w14:textId="77777777" w:rsidR="0020696A" w:rsidRDefault="0020696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812B9" w14:textId="77777777" w:rsidR="0020696A" w:rsidRDefault="0020696A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0DDC7" w14:textId="77777777" w:rsidR="0020696A" w:rsidRDefault="0020696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9E813"/>
    <w:multiLevelType w:val="hybridMultilevel"/>
    <w:tmpl w:val="FFFFFFFF"/>
    <w:lvl w:ilvl="0" w:tplc="7FA6A2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2628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2B650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EAE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0A29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2EC80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20C0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9AF1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54DA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6352A4"/>
    <w:multiLevelType w:val="hybridMultilevel"/>
    <w:tmpl w:val="FFFFFFFF"/>
    <w:lvl w:ilvl="0" w:tplc="4894A5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E08E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E0E8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C4FD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CCF6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F022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D63F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9271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D851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1964700">
    <w:abstractNumId w:val="0"/>
  </w:num>
  <w:num w:numId="2" w16cid:durableId="16001364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96A"/>
    <w:rsid w:val="0004077D"/>
    <w:rsid w:val="00065105"/>
    <w:rsid w:val="000A260E"/>
    <w:rsid w:val="000B42FE"/>
    <w:rsid w:val="0011172E"/>
    <w:rsid w:val="00132B9A"/>
    <w:rsid w:val="001A688A"/>
    <w:rsid w:val="001F1AD9"/>
    <w:rsid w:val="00200544"/>
    <w:rsid w:val="0020696A"/>
    <w:rsid w:val="00285A4F"/>
    <w:rsid w:val="002D5ABB"/>
    <w:rsid w:val="00357ACA"/>
    <w:rsid w:val="003631CD"/>
    <w:rsid w:val="00375038"/>
    <w:rsid w:val="003A1D2F"/>
    <w:rsid w:val="003E020E"/>
    <w:rsid w:val="003E11A1"/>
    <w:rsid w:val="004218EE"/>
    <w:rsid w:val="0047405D"/>
    <w:rsid w:val="004E6BA9"/>
    <w:rsid w:val="005112AC"/>
    <w:rsid w:val="005C13C3"/>
    <w:rsid w:val="005C1958"/>
    <w:rsid w:val="00604797"/>
    <w:rsid w:val="00612FA0"/>
    <w:rsid w:val="00663F5A"/>
    <w:rsid w:val="00726228"/>
    <w:rsid w:val="007F2535"/>
    <w:rsid w:val="0084050E"/>
    <w:rsid w:val="00885034"/>
    <w:rsid w:val="0088761A"/>
    <w:rsid w:val="00890C82"/>
    <w:rsid w:val="008E5129"/>
    <w:rsid w:val="008F2AFF"/>
    <w:rsid w:val="009436A0"/>
    <w:rsid w:val="009708E1"/>
    <w:rsid w:val="0097692A"/>
    <w:rsid w:val="00994B6D"/>
    <w:rsid w:val="009E40A4"/>
    <w:rsid w:val="00A50E7F"/>
    <w:rsid w:val="00A60615"/>
    <w:rsid w:val="00A639DB"/>
    <w:rsid w:val="00A9427A"/>
    <w:rsid w:val="00AE2C3F"/>
    <w:rsid w:val="00AF57EF"/>
    <w:rsid w:val="00B57F25"/>
    <w:rsid w:val="00BC06BA"/>
    <w:rsid w:val="00C26A06"/>
    <w:rsid w:val="00CA4DAF"/>
    <w:rsid w:val="00CB6BB4"/>
    <w:rsid w:val="00CF7A07"/>
    <w:rsid w:val="00D86993"/>
    <w:rsid w:val="00D90E45"/>
    <w:rsid w:val="00DC7CFE"/>
    <w:rsid w:val="00DE57E6"/>
    <w:rsid w:val="00E14C72"/>
    <w:rsid w:val="00E77CEF"/>
    <w:rsid w:val="00E93252"/>
    <w:rsid w:val="00EA1D7E"/>
    <w:rsid w:val="00F64616"/>
    <w:rsid w:val="00FC322B"/>
    <w:rsid w:val="00FD12AF"/>
    <w:rsid w:val="00FF7FF7"/>
    <w:rsid w:val="028B80D3"/>
    <w:rsid w:val="04B666BE"/>
    <w:rsid w:val="04F19BB9"/>
    <w:rsid w:val="063D21E5"/>
    <w:rsid w:val="10214221"/>
    <w:rsid w:val="10BC2A9A"/>
    <w:rsid w:val="1107BC8B"/>
    <w:rsid w:val="14A1E589"/>
    <w:rsid w:val="150CD51C"/>
    <w:rsid w:val="170D1E3A"/>
    <w:rsid w:val="19E8C89B"/>
    <w:rsid w:val="1C89674B"/>
    <w:rsid w:val="1F7D9089"/>
    <w:rsid w:val="23E0E5B5"/>
    <w:rsid w:val="2A5883A5"/>
    <w:rsid w:val="2AE53634"/>
    <w:rsid w:val="2D417233"/>
    <w:rsid w:val="2D53E346"/>
    <w:rsid w:val="2F3B9DBB"/>
    <w:rsid w:val="33EE7D5A"/>
    <w:rsid w:val="33F0CF09"/>
    <w:rsid w:val="34BB01CF"/>
    <w:rsid w:val="36CF1411"/>
    <w:rsid w:val="3FA3D41B"/>
    <w:rsid w:val="41134E0E"/>
    <w:rsid w:val="42D1217B"/>
    <w:rsid w:val="43EB3A0D"/>
    <w:rsid w:val="43F01363"/>
    <w:rsid w:val="44EFB38A"/>
    <w:rsid w:val="47101B24"/>
    <w:rsid w:val="4762CA9A"/>
    <w:rsid w:val="47CBA94D"/>
    <w:rsid w:val="494CAB08"/>
    <w:rsid w:val="498D0EB5"/>
    <w:rsid w:val="4B26A730"/>
    <w:rsid w:val="4D4436EE"/>
    <w:rsid w:val="513EE882"/>
    <w:rsid w:val="53CD7EDC"/>
    <w:rsid w:val="55AC999B"/>
    <w:rsid w:val="55BCF6CA"/>
    <w:rsid w:val="5647F33B"/>
    <w:rsid w:val="5B9CEE97"/>
    <w:rsid w:val="5FD5AD24"/>
    <w:rsid w:val="613EE2BA"/>
    <w:rsid w:val="6288AA7E"/>
    <w:rsid w:val="6314478A"/>
    <w:rsid w:val="6A5DD33F"/>
    <w:rsid w:val="6F8C1F1D"/>
    <w:rsid w:val="73E07A7E"/>
    <w:rsid w:val="7450097E"/>
    <w:rsid w:val="75E5DCCE"/>
    <w:rsid w:val="797CD688"/>
    <w:rsid w:val="7B00BCC5"/>
    <w:rsid w:val="7CEAEF04"/>
    <w:rsid w:val="7D2D6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F9292"/>
  <w15:chartTrackingRefBased/>
  <w15:docId w15:val="{1E8E66F5-CE6F-B646-87E2-00F2B4C80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link w:val="Kop1Char"/>
    <w:uiPriority w:val="9"/>
    <w:qFormat/>
    <w:rsid w:val="73E07A7E"/>
    <w:pPr>
      <w:widowControl w:val="0"/>
      <w:spacing w:line="333" w:lineRule="exact"/>
      <w:ind w:left="117"/>
      <w:outlineLvl w:val="0"/>
    </w:pPr>
    <w:rPr>
      <w:rFonts w:ascii="Mont" w:eastAsia="Mont" w:hAnsi="Mont" w:cs="Mont"/>
      <w:b/>
      <w:b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7405D"/>
    <w:rPr>
      <w:rFonts w:ascii="Mont" w:eastAsia="Mont" w:hAnsi="Mont" w:cs="Mont"/>
      <w:b/>
      <w:bCs/>
      <w:sz w:val="20"/>
      <w:szCs w:val="20"/>
    </w:rPr>
  </w:style>
  <w:style w:type="paragraph" w:styleId="Koptekst">
    <w:name w:val="header"/>
    <w:link w:val="KoptekstChar"/>
    <w:uiPriority w:val="99"/>
    <w:unhideWhenUsed/>
    <w:rsid w:val="73E07A7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0696A"/>
  </w:style>
  <w:style w:type="paragraph" w:styleId="Voettekst">
    <w:name w:val="footer"/>
    <w:link w:val="VoettekstChar"/>
    <w:uiPriority w:val="99"/>
    <w:unhideWhenUsed/>
    <w:rsid w:val="73E07A7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0696A"/>
  </w:style>
  <w:style w:type="character" w:styleId="Hyperlink">
    <w:name w:val="Hyperlink"/>
    <w:basedOn w:val="Standaardalinea-lettertype"/>
    <w:uiPriority w:val="99"/>
    <w:unhideWhenUsed/>
    <w:rsid w:val="00BC06BA"/>
    <w:rPr>
      <w:color w:val="0563C1" w:themeColor="hyperlink"/>
      <w:u w:val="single"/>
    </w:rPr>
  </w:style>
  <w:style w:type="paragraph" w:customStyle="1" w:styleId="paragraph">
    <w:name w:val="paragraph"/>
    <w:uiPriority w:val="1"/>
    <w:rsid w:val="73E07A7E"/>
    <w:pPr>
      <w:spacing w:beforeAutospacing="1" w:afterAutospacing="1"/>
    </w:pPr>
    <w:rPr>
      <w:rFonts w:ascii="Times New Roman" w:eastAsia="Times New Roman" w:hAnsi="Times New Roman" w:cs="Times New Roman"/>
      <w:lang w:eastAsia="nl-NL"/>
    </w:rPr>
  </w:style>
  <w:style w:type="character" w:customStyle="1" w:styleId="normaltextrun">
    <w:name w:val="normaltextrun"/>
    <w:basedOn w:val="Standaardalinea-lettertype"/>
    <w:rsid w:val="00CA4DAF"/>
  </w:style>
  <w:style w:type="character" w:customStyle="1" w:styleId="eop">
    <w:name w:val="eop"/>
    <w:basedOn w:val="Standaardalinea-lettertype"/>
    <w:rsid w:val="00CA4DAF"/>
  </w:style>
  <w:style w:type="character" w:customStyle="1" w:styleId="spellingerror">
    <w:name w:val="spellingerror"/>
    <w:basedOn w:val="Standaardalinea-lettertype"/>
    <w:rsid w:val="00CA4DAF"/>
  </w:style>
  <w:style w:type="character" w:customStyle="1" w:styleId="contextualspellingandgrammarerror">
    <w:name w:val="contextualspellingandgrammarerror"/>
    <w:basedOn w:val="Standaardalinea-lettertype"/>
    <w:rsid w:val="00CA4DAF"/>
  </w:style>
  <w:style w:type="character" w:customStyle="1" w:styleId="scxw220918182">
    <w:name w:val="scxw220918182"/>
    <w:basedOn w:val="Standaardalinea-lettertype"/>
    <w:rsid w:val="00A60615"/>
  </w:style>
  <w:style w:type="paragraph" w:styleId="Revisie">
    <w:name w:val="Revision"/>
    <w:hidden/>
    <w:uiPriority w:val="99"/>
    <w:semiHidden/>
    <w:rsid w:val="008E5129"/>
  </w:style>
  <w:style w:type="paragraph" w:styleId="Lijstalinea">
    <w:name w:val="List Paragraph"/>
    <w:uiPriority w:val="34"/>
    <w:qFormat/>
    <w:rsid w:val="73E07A7E"/>
    <w:pPr>
      <w:ind w:left="720"/>
      <w:contextualSpacing/>
    </w:pPr>
  </w:style>
  <w:style w:type="paragraph" w:styleId="Tekstopmerking">
    <w:name w:val="annotation text"/>
    <w:basedOn w:val="Standaard"/>
    <w:link w:val="TekstopmerkingChar"/>
    <w:uiPriority w:val="99"/>
    <w:semiHidden/>
    <w:unhideWhenUsed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Pr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9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0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9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9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6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1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1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1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9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1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1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8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5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0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6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5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4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5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404e66-f7aa-4839-a6eb-077ca4345fef" xsi:nil="true"/>
    <lcf76f155ced4ddcb4097134ff3c332f xmlns="a8caa4b0-157d-42f3-9834-89f422f91e6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2BEB90B95086409622256363F2A314" ma:contentTypeVersion="19" ma:contentTypeDescription="Een nieuw document maken." ma:contentTypeScope="" ma:versionID="ad7c96f883108c2bd017767da438e6d2">
  <xsd:schema xmlns:xsd="http://www.w3.org/2001/XMLSchema" xmlns:xs="http://www.w3.org/2001/XMLSchema" xmlns:p="http://schemas.microsoft.com/office/2006/metadata/properties" xmlns:ns2="a8caa4b0-157d-42f3-9834-89f422f91e62" xmlns:ns3="4c404e66-f7aa-4839-a6eb-077ca4345fef" targetNamespace="http://schemas.microsoft.com/office/2006/metadata/properties" ma:root="true" ma:fieldsID="838ec50b6c813ab2f1d0fedbccc2038e" ns2:_="" ns3:_="">
    <xsd:import namespace="a8caa4b0-157d-42f3-9834-89f422f91e62"/>
    <xsd:import namespace="4c404e66-f7aa-4839-a6eb-077ca4345f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caa4b0-157d-42f3-9834-89f422f91e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8c0ad0c5-cdb8-4f3c-8784-a4e31eecf3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404e66-f7aa-4839-a6eb-077ca4345fe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eb95650-48d3-4034-8ac8-ca9a20719f74}" ma:internalName="TaxCatchAll" ma:showField="CatchAllData" ma:web="4c404e66-f7aa-4839-a6eb-077ca4345f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DBBB15-3C0C-4E28-87C3-2B958B2D98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3EF5BC-A19B-4064-A89E-093E079B2A9B}">
  <ds:schemaRefs>
    <ds:schemaRef ds:uri="http://schemas.microsoft.com/office/2006/metadata/properties"/>
    <ds:schemaRef ds:uri="http://schemas.microsoft.com/office/infopath/2007/PartnerControls"/>
    <ds:schemaRef ds:uri="4c404e66-f7aa-4839-a6eb-077ca4345fef"/>
    <ds:schemaRef ds:uri="a8caa4b0-157d-42f3-9834-89f422f91e62"/>
  </ds:schemaRefs>
</ds:datastoreItem>
</file>

<file path=customXml/itemProps3.xml><?xml version="1.0" encoding="utf-8"?>
<ds:datastoreItem xmlns:ds="http://schemas.openxmlformats.org/officeDocument/2006/customXml" ds:itemID="{CA5F6FEE-FD85-41C4-9E0C-C68CB286AA35}"/>
</file>

<file path=docMetadata/LabelInfo.xml><?xml version="1.0" encoding="utf-8"?>
<clbl:labelList xmlns:clbl="http://schemas.microsoft.com/office/2020/mipLabelMetadata">
  <clbl:label id="{5183263d-bfb8-4fb2-8370-54795ddca596}" enabled="0" method="" siteId="{5183263d-bfb8-4fb2-8370-54795ddca59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926</Words>
  <Characters>5098</Characters>
  <Application>Microsoft Office Word</Application>
  <DocSecurity>0</DocSecurity>
  <Lines>42</Lines>
  <Paragraphs>12</Paragraphs>
  <ScaleCrop>false</ScaleCrop>
  <Company/>
  <LinksUpToDate>false</LinksUpToDate>
  <CharactersWithSpaces>6012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van Coesant</dc:creator>
  <cp:keywords/>
  <dc:description/>
  <cp:lastModifiedBy>Jaqueline Middendorf</cp:lastModifiedBy>
  <cp:revision>48</cp:revision>
  <dcterms:created xsi:type="dcterms:W3CDTF">2026-05-07T10:00:00Z</dcterms:created>
  <dcterms:modified xsi:type="dcterms:W3CDTF">2026-05-13T09:38:00Z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0x010100752BEB90B95086409622256363F2A314</vt:lpwstr>
  </property>
  <property fmtid="{D5CDD505-2E9C-101B-9397-08002B2CF9AE}" pid="3" name="MediaServiceImageTags">
    <vt:lpwstr/>
  </property>
</Properties>
</file>